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5522" w14:textId="2D1B0C22" w:rsidR="00FF2E39" w:rsidRDefault="00FF2E39" w:rsidP="00F15B0B">
      <w:pPr>
        <w:pStyle w:val="Heading2"/>
      </w:pPr>
      <w:bookmarkStart w:id="0" w:name="_GoBack"/>
      <w:bookmarkEnd w:id="0"/>
      <w:r>
        <w:t>Harvest rates 1</w:t>
      </w:r>
    </w:p>
    <w:p w14:paraId="2E9A57F4" w14:textId="6AED38BD" w:rsidR="00FF2E39" w:rsidRPr="00FF2E39" w:rsidRDefault="00FF2E39" w:rsidP="00FF2E39">
      <w:pPr>
        <w:keepNext/>
        <w:keepLines/>
        <w:spacing w:before="200" w:after="0" w:line="240" w:lineRule="auto"/>
        <w:outlineLvl w:val="1"/>
      </w:pPr>
      <w:r w:rsidRPr="00FF2E39">
        <w:t xml:space="preserve">This activity aims to assist harvesting contractors </w:t>
      </w:r>
      <w:r w:rsidR="000D3999">
        <w:t>calculate the cost of their work. It provides a series of examples for contractors to practi</w:t>
      </w:r>
      <w:r w:rsidR="0077137B">
        <w:t>s</w:t>
      </w:r>
      <w:r w:rsidR="000D3999">
        <w:t>e</w:t>
      </w:r>
      <w:r w:rsidRPr="00FF2E39">
        <w:t xml:space="preserve"> </w:t>
      </w:r>
      <w:r w:rsidR="000D3999">
        <w:t>the sort of calculations involved when quoting for work.</w:t>
      </w:r>
    </w:p>
    <w:p w14:paraId="722CF046" w14:textId="77777777" w:rsidR="00FF2E39" w:rsidRPr="00FF2E39" w:rsidRDefault="00FF2E39" w:rsidP="00FF2E39">
      <w:pPr>
        <w:keepNext/>
        <w:keepLines/>
        <w:spacing w:before="200" w:after="0" w:line="240" w:lineRule="auto"/>
        <w:outlineLvl w:val="1"/>
      </w:pPr>
    </w:p>
    <w:p w14:paraId="410A95F4" w14:textId="77777777" w:rsidR="00FF2E39" w:rsidRPr="00FF2E39" w:rsidRDefault="00FF2E39" w:rsidP="00FF2E3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 w:line="240" w:lineRule="auto"/>
        <w:outlineLvl w:val="2"/>
        <w:rPr>
          <w:b/>
          <w:sz w:val="24"/>
          <w:szCs w:val="24"/>
        </w:rPr>
      </w:pPr>
    </w:p>
    <w:p w14:paraId="4E279A77" w14:textId="77777777" w:rsidR="00FF2E39" w:rsidRPr="00FF2E39" w:rsidRDefault="00FF2E39" w:rsidP="00FF2E3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/>
        <w:outlineLvl w:val="2"/>
        <w:rPr>
          <w:b/>
          <w:sz w:val="24"/>
          <w:szCs w:val="24"/>
        </w:rPr>
      </w:pPr>
      <w:r w:rsidRPr="00FF2E39">
        <w:rPr>
          <w:b/>
          <w:sz w:val="24"/>
          <w:szCs w:val="24"/>
        </w:rPr>
        <w:t>Who is this activity aimed at?</w:t>
      </w:r>
    </w:p>
    <w:p w14:paraId="605DA57D" w14:textId="05393BF4" w:rsidR="00FF2E39" w:rsidRPr="00FF2E39" w:rsidRDefault="00FF2E39" w:rsidP="00FF2E3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/>
        <w:outlineLvl w:val="2"/>
      </w:pPr>
      <w:r w:rsidRPr="00FF2E39">
        <w:t xml:space="preserve">This activity </w:t>
      </w:r>
      <w:r w:rsidR="0077137B">
        <w:t>allows the contractor to practis</w:t>
      </w:r>
      <w:r w:rsidRPr="00FF2E39">
        <w:t xml:space="preserve">e some of the calculations involved when pricing work. This knowledge can be used when tendering for work. This activity </w:t>
      </w:r>
      <w:r w:rsidR="000D3999">
        <w:t>can be undertaken to build the contractor’s knowledge of how to make the calculations. A</w:t>
      </w:r>
      <w:r w:rsidR="00CE3222">
        <w:t>n</w:t>
      </w:r>
      <w:r w:rsidR="000D3999">
        <w:t xml:space="preserve"> answer sheet is provided to check answers.</w:t>
      </w:r>
    </w:p>
    <w:p w14:paraId="03A29996" w14:textId="77777777" w:rsidR="00FF2E39" w:rsidRPr="00FF2E39" w:rsidRDefault="00FF2E39" w:rsidP="00FF2E3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 w:line="240" w:lineRule="auto"/>
        <w:outlineLvl w:val="2"/>
        <w:rPr>
          <w:b/>
          <w:sz w:val="24"/>
          <w:szCs w:val="24"/>
        </w:rPr>
      </w:pPr>
      <w:r w:rsidRPr="00FF2E39">
        <w:rPr>
          <w:b/>
          <w:sz w:val="24"/>
          <w:szCs w:val="24"/>
        </w:rPr>
        <w:t xml:space="preserve">Outcome: </w:t>
      </w:r>
    </w:p>
    <w:p w14:paraId="0FEAB58F" w14:textId="6445797B" w:rsidR="00FF2E39" w:rsidRPr="00FF2E39" w:rsidRDefault="00FF2E39" w:rsidP="00FF2E3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FF2E39">
        <w:t>Contractors are required to tender or bid for work. In the past pricing has been based on history rather than a systematic approach to identifying the components of the job and costing each one of them out to provide a total cost. This activity provides some examples.</w:t>
      </w:r>
    </w:p>
    <w:p w14:paraId="3A43ECEA" w14:textId="77777777" w:rsidR="00FF2E39" w:rsidRPr="00FF2E39" w:rsidRDefault="00FF2E39" w:rsidP="00FF2E3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 w:line="240" w:lineRule="auto"/>
        <w:outlineLvl w:val="2"/>
        <w:rPr>
          <w:b/>
          <w:sz w:val="24"/>
          <w:szCs w:val="24"/>
        </w:rPr>
      </w:pPr>
      <w:r w:rsidRPr="00FF2E39">
        <w:rPr>
          <w:b/>
          <w:sz w:val="24"/>
          <w:szCs w:val="24"/>
        </w:rPr>
        <w:t>Preparation:</w:t>
      </w:r>
    </w:p>
    <w:p w14:paraId="5AE4AF2A" w14:textId="50DC112F" w:rsidR="00FF2E39" w:rsidRPr="00FF2E39" w:rsidRDefault="00FF2E39" w:rsidP="00FF2E3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FF2E39">
        <w:t xml:space="preserve">To gain the most out of this activity the contractor </w:t>
      </w:r>
      <w:r w:rsidR="000D3999">
        <w:t xml:space="preserve">could </w:t>
      </w:r>
      <w:r w:rsidRPr="00FF2E39">
        <w:t xml:space="preserve">collect information on current costs in their business to substitute into the calculation sheets. </w:t>
      </w:r>
    </w:p>
    <w:p w14:paraId="1220B627" w14:textId="77777777" w:rsidR="00FF2E39" w:rsidRPr="00FF2E39" w:rsidRDefault="00FF2E39" w:rsidP="00FF2E3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 w:line="240" w:lineRule="auto"/>
        <w:outlineLvl w:val="2"/>
        <w:rPr>
          <w:b/>
          <w:sz w:val="24"/>
          <w:szCs w:val="24"/>
        </w:rPr>
      </w:pPr>
      <w:r w:rsidRPr="00FF2E39">
        <w:rPr>
          <w:b/>
          <w:sz w:val="24"/>
          <w:szCs w:val="24"/>
        </w:rPr>
        <w:t>What will you need?</w:t>
      </w:r>
    </w:p>
    <w:p w14:paraId="0BF8AC1F" w14:textId="5CC4D829" w:rsidR="00FF2E39" w:rsidRPr="00FF2E39" w:rsidRDefault="00FF2E39" w:rsidP="00FF2E3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FF2E39">
        <w:t xml:space="preserve">You will need a quiet room away from day to day activities to undertake this activity. A pen, paper and calculator are required to undertake this activity. </w:t>
      </w:r>
      <w:r w:rsidR="007847FE">
        <w:t>An answer sheet is provided for you to check your answers.</w:t>
      </w:r>
    </w:p>
    <w:p w14:paraId="5DEFCC58" w14:textId="77777777" w:rsidR="00FF2E39" w:rsidRPr="00FF2E39" w:rsidRDefault="00FF2E39" w:rsidP="00FF2E39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</w:p>
    <w:p w14:paraId="537F36D1" w14:textId="77777777" w:rsidR="00FF2E39" w:rsidRPr="00FF2E39" w:rsidRDefault="00FF2E39" w:rsidP="00FF2E39">
      <w:pPr>
        <w:rPr>
          <w:rFonts w:eastAsiaTheme="majorEastAsia" w:cstheme="minorHAnsi"/>
          <w:b/>
          <w:bCs/>
          <w:color w:val="009999"/>
          <w:sz w:val="26"/>
          <w:szCs w:val="26"/>
          <w:lang w:eastAsia="en-AU"/>
        </w:rPr>
      </w:pPr>
      <w:r w:rsidRPr="00FF2E39">
        <w:rPr>
          <w:rFonts w:eastAsiaTheme="minorEastAsia"/>
          <w:lang w:eastAsia="en-AU"/>
        </w:rPr>
        <w:br w:type="page"/>
      </w:r>
    </w:p>
    <w:p w14:paraId="01AD3552" w14:textId="77777777" w:rsidR="00FF2E39" w:rsidRPr="00FF2E39" w:rsidRDefault="00FF2E39" w:rsidP="00FF2E39"/>
    <w:p w14:paraId="66EB4C3B" w14:textId="6C63009A" w:rsidR="00A31ED0" w:rsidRPr="00F15B0B" w:rsidRDefault="006F001E" w:rsidP="00F15B0B">
      <w:pPr>
        <w:pStyle w:val="Heading2"/>
      </w:pPr>
      <w:r>
        <w:t xml:space="preserve">Activity: </w:t>
      </w:r>
    </w:p>
    <w:p w14:paraId="6BD8610D" w14:textId="77777777" w:rsidR="00A31ED0" w:rsidRDefault="006F001E">
      <w:r>
        <w:t>Use the information in the two tables below to help calculate the answers to the questions that follow.</w:t>
      </w:r>
    </w:p>
    <w:p w14:paraId="671025F5" w14:textId="77777777" w:rsidR="006F001E" w:rsidRDefault="006F001E" w:rsidP="009910A9">
      <w:pPr>
        <w:pStyle w:val="Heading3"/>
      </w:pPr>
      <w:r>
        <w:t>Base rates</w:t>
      </w:r>
    </w:p>
    <w:tbl>
      <w:tblPr>
        <w:tblStyle w:val="TableGrid"/>
        <w:tblW w:w="7657" w:type="dxa"/>
        <w:tblLook w:val="04A0" w:firstRow="1" w:lastRow="0" w:firstColumn="1" w:lastColumn="0" w:noHBand="0" w:noVBand="1"/>
      </w:tblPr>
      <w:tblGrid>
        <w:gridCol w:w="675"/>
        <w:gridCol w:w="1560"/>
        <w:gridCol w:w="1807"/>
        <w:gridCol w:w="1807"/>
        <w:gridCol w:w="1808"/>
      </w:tblGrid>
      <w:tr w:rsidR="009910A9" w:rsidRPr="009910A9" w14:paraId="3CD4971F" w14:textId="77777777" w:rsidTr="00AA7873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18D1A1E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Yield class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D2FE33D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Total harvest site yield m</w:t>
            </w:r>
            <w:r w:rsidRPr="009910A9">
              <w:rPr>
                <w:b/>
                <w:vertAlign w:val="superscript"/>
              </w:rPr>
              <w:t>3</w:t>
            </w:r>
            <w:r w:rsidRPr="009910A9">
              <w:rPr>
                <w:b/>
              </w:rPr>
              <w:t>/ha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412D7C31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B Grade Sawlog $/m</w:t>
            </w:r>
            <w:r w:rsidRPr="009910A9">
              <w:rPr>
                <w:b/>
                <w:vertAlign w:val="superscript"/>
              </w:rPr>
              <w:t>3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09024643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C Grade Sawlog $/m</w:t>
            </w:r>
            <w:r w:rsidRPr="009910A9">
              <w:rPr>
                <w:b/>
                <w:vertAlign w:val="superscript"/>
              </w:rPr>
              <w:t>3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374E1F61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Pulpwood</w:t>
            </w:r>
          </w:p>
          <w:p w14:paraId="4B169811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$/m</w:t>
            </w:r>
            <w:r w:rsidRPr="009910A9">
              <w:rPr>
                <w:b/>
                <w:vertAlign w:val="superscript"/>
              </w:rPr>
              <w:t>3</w:t>
            </w:r>
            <w:r w:rsidRPr="009910A9">
              <w:rPr>
                <w:b/>
              </w:rPr>
              <w:t xml:space="preserve"> </w:t>
            </w:r>
          </w:p>
        </w:tc>
      </w:tr>
      <w:tr w:rsidR="009910A9" w:rsidRPr="009910A9" w14:paraId="6998A86D" w14:textId="77777777" w:rsidTr="00AA7873">
        <w:tc>
          <w:tcPr>
            <w:tcW w:w="675" w:type="dxa"/>
            <w:vAlign w:val="center"/>
          </w:tcPr>
          <w:p w14:paraId="42B65D06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G</w:t>
            </w:r>
          </w:p>
        </w:tc>
        <w:tc>
          <w:tcPr>
            <w:tcW w:w="1560" w:type="dxa"/>
            <w:vAlign w:val="center"/>
          </w:tcPr>
          <w:p w14:paraId="691B8412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50 – 100</w:t>
            </w:r>
          </w:p>
        </w:tc>
        <w:tc>
          <w:tcPr>
            <w:tcW w:w="1807" w:type="dxa"/>
            <w:vAlign w:val="center"/>
          </w:tcPr>
          <w:p w14:paraId="5FA69F06" w14:textId="77777777" w:rsidR="009910A9" w:rsidRPr="009910A9" w:rsidRDefault="009910A9" w:rsidP="00AA7873">
            <w:pPr>
              <w:spacing w:before="80" w:after="80"/>
            </w:pPr>
            <w:r>
              <w:t>$98</w:t>
            </w:r>
          </w:p>
        </w:tc>
        <w:tc>
          <w:tcPr>
            <w:tcW w:w="1807" w:type="dxa"/>
            <w:vAlign w:val="center"/>
          </w:tcPr>
          <w:p w14:paraId="162F8605" w14:textId="77777777" w:rsidR="009910A9" w:rsidRPr="009910A9" w:rsidRDefault="009910A9" w:rsidP="00AA7873">
            <w:pPr>
              <w:spacing w:before="80" w:after="80"/>
            </w:pPr>
            <w:r>
              <w:t>$103</w:t>
            </w:r>
          </w:p>
        </w:tc>
        <w:tc>
          <w:tcPr>
            <w:tcW w:w="1808" w:type="dxa"/>
            <w:vAlign w:val="center"/>
          </w:tcPr>
          <w:p w14:paraId="38352351" w14:textId="77777777" w:rsidR="009910A9" w:rsidRPr="009910A9" w:rsidRDefault="009910A9" w:rsidP="00AA7873">
            <w:pPr>
              <w:spacing w:before="80" w:after="80"/>
            </w:pPr>
            <w:r>
              <w:t>$92</w:t>
            </w:r>
          </w:p>
        </w:tc>
      </w:tr>
      <w:tr w:rsidR="009910A9" w:rsidRPr="009910A9" w14:paraId="6EBC2A5A" w14:textId="77777777" w:rsidTr="00AA7873">
        <w:tc>
          <w:tcPr>
            <w:tcW w:w="675" w:type="dxa"/>
            <w:vAlign w:val="center"/>
          </w:tcPr>
          <w:p w14:paraId="20823AD0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F</w:t>
            </w:r>
          </w:p>
        </w:tc>
        <w:tc>
          <w:tcPr>
            <w:tcW w:w="1560" w:type="dxa"/>
            <w:vAlign w:val="center"/>
          </w:tcPr>
          <w:p w14:paraId="3F16EF8A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101 – 150</w:t>
            </w:r>
          </w:p>
        </w:tc>
        <w:tc>
          <w:tcPr>
            <w:tcW w:w="1807" w:type="dxa"/>
            <w:vAlign w:val="center"/>
          </w:tcPr>
          <w:p w14:paraId="6DF060E4" w14:textId="77777777" w:rsidR="009910A9" w:rsidRPr="009910A9" w:rsidRDefault="009910A9" w:rsidP="00AA7873">
            <w:pPr>
              <w:spacing w:before="80" w:after="80"/>
            </w:pPr>
            <w:r>
              <w:t>$100</w:t>
            </w:r>
          </w:p>
        </w:tc>
        <w:tc>
          <w:tcPr>
            <w:tcW w:w="1807" w:type="dxa"/>
            <w:vAlign w:val="center"/>
          </w:tcPr>
          <w:p w14:paraId="39C1E9EA" w14:textId="77777777" w:rsidR="009910A9" w:rsidRPr="009910A9" w:rsidRDefault="009910A9" w:rsidP="00AA7873">
            <w:pPr>
              <w:spacing w:before="80" w:after="80"/>
            </w:pPr>
            <w:r>
              <w:t>$105</w:t>
            </w:r>
          </w:p>
        </w:tc>
        <w:tc>
          <w:tcPr>
            <w:tcW w:w="1808" w:type="dxa"/>
            <w:vAlign w:val="center"/>
          </w:tcPr>
          <w:p w14:paraId="5F377CD0" w14:textId="77777777" w:rsidR="009910A9" w:rsidRPr="009910A9" w:rsidRDefault="009910A9" w:rsidP="00AA7873">
            <w:pPr>
              <w:spacing w:before="80" w:after="80"/>
            </w:pPr>
            <w:r>
              <w:t>$94</w:t>
            </w:r>
          </w:p>
        </w:tc>
      </w:tr>
      <w:tr w:rsidR="009910A9" w:rsidRPr="009910A9" w14:paraId="0976361C" w14:textId="77777777" w:rsidTr="00AA7873">
        <w:tc>
          <w:tcPr>
            <w:tcW w:w="675" w:type="dxa"/>
            <w:vAlign w:val="center"/>
          </w:tcPr>
          <w:p w14:paraId="43B1A306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E</w:t>
            </w:r>
          </w:p>
        </w:tc>
        <w:tc>
          <w:tcPr>
            <w:tcW w:w="1560" w:type="dxa"/>
            <w:vAlign w:val="center"/>
          </w:tcPr>
          <w:p w14:paraId="10C7FF6A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151 – 200</w:t>
            </w:r>
          </w:p>
        </w:tc>
        <w:tc>
          <w:tcPr>
            <w:tcW w:w="1807" w:type="dxa"/>
            <w:vAlign w:val="center"/>
          </w:tcPr>
          <w:p w14:paraId="639E3E00" w14:textId="77777777" w:rsidR="009910A9" w:rsidRPr="009910A9" w:rsidRDefault="009910A9" w:rsidP="00AA7873">
            <w:pPr>
              <w:spacing w:before="80" w:after="80"/>
            </w:pPr>
            <w:r>
              <w:t>$102</w:t>
            </w:r>
          </w:p>
        </w:tc>
        <w:tc>
          <w:tcPr>
            <w:tcW w:w="1807" w:type="dxa"/>
            <w:vAlign w:val="center"/>
          </w:tcPr>
          <w:p w14:paraId="48BD848E" w14:textId="77777777" w:rsidR="009910A9" w:rsidRPr="009910A9" w:rsidRDefault="009910A9" w:rsidP="00AA7873">
            <w:pPr>
              <w:spacing w:before="80" w:after="80"/>
            </w:pPr>
            <w:r>
              <w:t>$107</w:t>
            </w:r>
          </w:p>
        </w:tc>
        <w:tc>
          <w:tcPr>
            <w:tcW w:w="1808" w:type="dxa"/>
            <w:vAlign w:val="center"/>
          </w:tcPr>
          <w:p w14:paraId="29930D69" w14:textId="77777777" w:rsidR="009910A9" w:rsidRPr="009910A9" w:rsidRDefault="009910A9" w:rsidP="00AA7873">
            <w:pPr>
              <w:spacing w:before="80" w:after="80"/>
            </w:pPr>
            <w:r>
              <w:t>$96</w:t>
            </w:r>
          </w:p>
        </w:tc>
      </w:tr>
      <w:tr w:rsidR="009910A9" w:rsidRPr="009910A9" w14:paraId="72904B93" w14:textId="77777777" w:rsidTr="00AA7873">
        <w:tc>
          <w:tcPr>
            <w:tcW w:w="675" w:type="dxa"/>
            <w:vAlign w:val="center"/>
          </w:tcPr>
          <w:p w14:paraId="17069628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D</w:t>
            </w:r>
          </w:p>
        </w:tc>
        <w:tc>
          <w:tcPr>
            <w:tcW w:w="1560" w:type="dxa"/>
            <w:vAlign w:val="center"/>
          </w:tcPr>
          <w:p w14:paraId="72BB4908" w14:textId="77777777" w:rsidR="009910A9" w:rsidRPr="009910A9" w:rsidRDefault="009910A9" w:rsidP="00061DCE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 xml:space="preserve">201 </w:t>
            </w:r>
            <w:r w:rsidR="00061DCE">
              <w:rPr>
                <w:b/>
              </w:rPr>
              <w:t>–</w:t>
            </w:r>
            <w:r w:rsidRPr="009910A9">
              <w:rPr>
                <w:b/>
              </w:rPr>
              <w:t xml:space="preserve"> 300</w:t>
            </w:r>
          </w:p>
        </w:tc>
        <w:tc>
          <w:tcPr>
            <w:tcW w:w="1807" w:type="dxa"/>
            <w:vAlign w:val="center"/>
          </w:tcPr>
          <w:p w14:paraId="15EDA335" w14:textId="77777777" w:rsidR="009910A9" w:rsidRPr="009910A9" w:rsidRDefault="009910A9" w:rsidP="00AA7873">
            <w:pPr>
              <w:spacing w:before="80" w:after="80"/>
            </w:pPr>
            <w:r w:rsidRPr="009910A9">
              <w:t>$10</w:t>
            </w:r>
            <w:r>
              <w:t>4</w:t>
            </w:r>
          </w:p>
        </w:tc>
        <w:tc>
          <w:tcPr>
            <w:tcW w:w="1807" w:type="dxa"/>
            <w:vAlign w:val="center"/>
          </w:tcPr>
          <w:p w14:paraId="589ADFED" w14:textId="77777777" w:rsidR="009910A9" w:rsidRPr="009910A9" w:rsidRDefault="009910A9" w:rsidP="00AA7873">
            <w:pPr>
              <w:spacing w:before="80" w:after="80"/>
            </w:pPr>
            <w:r>
              <w:t>$113</w:t>
            </w:r>
          </w:p>
        </w:tc>
        <w:tc>
          <w:tcPr>
            <w:tcW w:w="1808" w:type="dxa"/>
            <w:vAlign w:val="center"/>
          </w:tcPr>
          <w:p w14:paraId="488D5F5D" w14:textId="77777777" w:rsidR="009910A9" w:rsidRPr="009910A9" w:rsidRDefault="009910A9" w:rsidP="00AA7873">
            <w:pPr>
              <w:spacing w:before="80" w:after="80"/>
            </w:pPr>
            <w:r>
              <w:t>$98</w:t>
            </w:r>
          </w:p>
        </w:tc>
      </w:tr>
      <w:tr w:rsidR="009910A9" w:rsidRPr="009910A9" w14:paraId="2E2A01B6" w14:textId="77777777" w:rsidTr="00AA7873">
        <w:tc>
          <w:tcPr>
            <w:tcW w:w="675" w:type="dxa"/>
            <w:vAlign w:val="center"/>
          </w:tcPr>
          <w:p w14:paraId="24B0299C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C</w:t>
            </w:r>
          </w:p>
        </w:tc>
        <w:tc>
          <w:tcPr>
            <w:tcW w:w="1560" w:type="dxa"/>
            <w:vAlign w:val="center"/>
          </w:tcPr>
          <w:p w14:paraId="15390C08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301 – 400</w:t>
            </w:r>
          </w:p>
        </w:tc>
        <w:tc>
          <w:tcPr>
            <w:tcW w:w="1807" w:type="dxa"/>
            <w:vAlign w:val="center"/>
          </w:tcPr>
          <w:p w14:paraId="488F57E3" w14:textId="77777777" w:rsidR="009910A9" w:rsidRPr="009910A9" w:rsidRDefault="009910A9" w:rsidP="00AA7873">
            <w:pPr>
              <w:spacing w:before="80" w:after="80"/>
            </w:pPr>
            <w:r>
              <w:t>$106</w:t>
            </w:r>
          </w:p>
        </w:tc>
        <w:tc>
          <w:tcPr>
            <w:tcW w:w="1807" w:type="dxa"/>
            <w:vAlign w:val="center"/>
          </w:tcPr>
          <w:p w14:paraId="3E2B7628" w14:textId="77777777" w:rsidR="009910A9" w:rsidRPr="009910A9" w:rsidRDefault="009910A9" w:rsidP="00AA7873">
            <w:pPr>
              <w:spacing w:before="80" w:after="80"/>
            </w:pPr>
            <w:r>
              <w:t>$118</w:t>
            </w:r>
          </w:p>
        </w:tc>
        <w:tc>
          <w:tcPr>
            <w:tcW w:w="1808" w:type="dxa"/>
            <w:vAlign w:val="center"/>
          </w:tcPr>
          <w:p w14:paraId="2460BC71" w14:textId="77777777" w:rsidR="009910A9" w:rsidRPr="009910A9" w:rsidRDefault="009910A9" w:rsidP="00AA7873">
            <w:pPr>
              <w:spacing w:before="80" w:after="80"/>
            </w:pPr>
            <w:r>
              <w:t>$100</w:t>
            </w:r>
          </w:p>
        </w:tc>
      </w:tr>
      <w:tr w:rsidR="009910A9" w:rsidRPr="009910A9" w14:paraId="549C2AF8" w14:textId="77777777" w:rsidTr="00AA7873">
        <w:tc>
          <w:tcPr>
            <w:tcW w:w="675" w:type="dxa"/>
            <w:vAlign w:val="center"/>
          </w:tcPr>
          <w:p w14:paraId="1C90619C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B</w:t>
            </w:r>
          </w:p>
        </w:tc>
        <w:tc>
          <w:tcPr>
            <w:tcW w:w="1560" w:type="dxa"/>
            <w:vAlign w:val="center"/>
          </w:tcPr>
          <w:p w14:paraId="69FD63E1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400 – 800</w:t>
            </w:r>
          </w:p>
        </w:tc>
        <w:tc>
          <w:tcPr>
            <w:tcW w:w="1807" w:type="dxa"/>
            <w:vAlign w:val="center"/>
          </w:tcPr>
          <w:p w14:paraId="38ED9025" w14:textId="77777777" w:rsidR="009910A9" w:rsidRPr="009910A9" w:rsidRDefault="009910A9" w:rsidP="00AA7873">
            <w:pPr>
              <w:spacing w:before="80" w:after="80"/>
            </w:pPr>
            <w:r>
              <w:t>$108</w:t>
            </w:r>
          </w:p>
        </w:tc>
        <w:tc>
          <w:tcPr>
            <w:tcW w:w="1807" w:type="dxa"/>
            <w:vAlign w:val="center"/>
          </w:tcPr>
          <w:p w14:paraId="0CBFBA61" w14:textId="77777777" w:rsidR="009910A9" w:rsidRPr="009910A9" w:rsidRDefault="009910A9" w:rsidP="00AA7873">
            <w:pPr>
              <w:spacing w:before="80" w:after="80"/>
            </w:pPr>
            <w:r>
              <w:t>$123</w:t>
            </w:r>
          </w:p>
        </w:tc>
        <w:tc>
          <w:tcPr>
            <w:tcW w:w="1808" w:type="dxa"/>
            <w:vAlign w:val="center"/>
          </w:tcPr>
          <w:p w14:paraId="325DD409" w14:textId="77777777" w:rsidR="009910A9" w:rsidRPr="009910A9" w:rsidRDefault="009910A9" w:rsidP="00AA7873">
            <w:pPr>
              <w:spacing w:before="80" w:after="80"/>
            </w:pPr>
            <w:r>
              <w:t>$102</w:t>
            </w:r>
          </w:p>
        </w:tc>
      </w:tr>
      <w:tr w:rsidR="009910A9" w:rsidRPr="009910A9" w14:paraId="46D264E4" w14:textId="77777777" w:rsidTr="00AA7873">
        <w:tc>
          <w:tcPr>
            <w:tcW w:w="675" w:type="dxa"/>
            <w:vAlign w:val="center"/>
          </w:tcPr>
          <w:p w14:paraId="062953CC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A</w:t>
            </w:r>
          </w:p>
        </w:tc>
        <w:tc>
          <w:tcPr>
            <w:tcW w:w="1560" w:type="dxa"/>
            <w:vAlign w:val="center"/>
          </w:tcPr>
          <w:p w14:paraId="7A807B91" w14:textId="77777777" w:rsidR="009910A9" w:rsidRPr="009910A9" w:rsidRDefault="009910A9" w:rsidP="00AA7873">
            <w:pPr>
              <w:spacing w:before="80" w:after="80"/>
              <w:rPr>
                <w:b/>
              </w:rPr>
            </w:pPr>
            <w:r w:rsidRPr="009910A9">
              <w:rPr>
                <w:b/>
              </w:rPr>
              <w:t>801</w:t>
            </w:r>
            <w:r w:rsidRPr="009910A9">
              <w:rPr>
                <w:b/>
                <w:vertAlign w:val="superscript"/>
              </w:rPr>
              <w:t>+</w:t>
            </w:r>
          </w:p>
        </w:tc>
        <w:tc>
          <w:tcPr>
            <w:tcW w:w="1807" w:type="dxa"/>
            <w:vAlign w:val="center"/>
          </w:tcPr>
          <w:p w14:paraId="2E116E4D" w14:textId="77777777" w:rsidR="009910A9" w:rsidRPr="009910A9" w:rsidRDefault="009910A9" w:rsidP="00AA7873">
            <w:pPr>
              <w:spacing w:before="80" w:after="80"/>
            </w:pPr>
            <w:r>
              <w:t>$110</w:t>
            </w:r>
          </w:p>
        </w:tc>
        <w:tc>
          <w:tcPr>
            <w:tcW w:w="1807" w:type="dxa"/>
            <w:vAlign w:val="center"/>
          </w:tcPr>
          <w:p w14:paraId="6DC146ED" w14:textId="77777777" w:rsidR="009910A9" w:rsidRPr="009910A9" w:rsidRDefault="009910A9" w:rsidP="00AA7873">
            <w:pPr>
              <w:spacing w:before="80" w:after="80"/>
            </w:pPr>
            <w:r>
              <w:t>$128</w:t>
            </w:r>
          </w:p>
        </w:tc>
        <w:tc>
          <w:tcPr>
            <w:tcW w:w="1808" w:type="dxa"/>
            <w:vAlign w:val="center"/>
          </w:tcPr>
          <w:p w14:paraId="2ACAF2D3" w14:textId="77777777" w:rsidR="009910A9" w:rsidRPr="009910A9" w:rsidRDefault="009910A9" w:rsidP="00AA7873">
            <w:pPr>
              <w:spacing w:before="80" w:after="80"/>
            </w:pPr>
            <w:r>
              <w:t>$104</w:t>
            </w:r>
          </w:p>
        </w:tc>
      </w:tr>
    </w:tbl>
    <w:p w14:paraId="1075494F" w14:textId="77777777" w:rsidR="009910A9" w:rsidRDefault="009910A9">
      <w:pPr>
        <w:spacing w:line="240" w:lineRule="auto"/>
        <w:rPr>
          <w:b/>
          <w:sz w:val="24"/>
          <w:szCs w:val="24"/>
        </w:rPr>
      </w:pPr>
    </w:p>
    <w:p w14:paraId="7E8A244D" w14:textId="77777777" w:rsidR="00AA7873" w:rsidRDefault="00AA787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Rates add-on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1770"/>
        <w:gridCol w:w="1834"/>
      </w:tblGrid>
      <w:tr w:rsidR="00AA7873" w14:paraId="06E29F25" w14:textId="77777777" w:rsidTr="00AA7873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49F9E8D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Harvest site factor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A92555F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E208A8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7C730B7D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Add-on </w:t>
            </w:r>
            <w:r>
              <w:rPr>
                <w:b/>
                <w:sz w:val="24"/>
                <w:szCs w:val="24"/>
              </w:rPr>
              <w:br/>
              <w:t>($/m3)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648CC15B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of add-on</w:t>
            </w:r>
          </w:p>
        </w:tc>
      </w:tr>
      <w:tr w:rsidR="00AA7873" w14:paraId="5AE2B6B4" w14:textId="77777777" w:rsidTr="00AA7873">
        <w:tc>
          <w:tcPr>
            <w:tcW w:w="1242" w:type="dxa"/>
            <w:vMerge w:val="restart"/>
            <w:vAlign w:val="center"/>
          </w:tcPr>
          <w:p w14:paraId="3F00152D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Slope</w:t>
            </w:r>
          </w:p>
        </w:tc>
        <w:tc>
          <w:tcPr>
            <w:tcW w:w="993" w:type="dxa"/>
            <w:vAlign w:val="center"/>
          </w:tcPr>
          <w:p w14:paraId="013924CF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0845DB4A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 xml:space="preserve">0-10% of harvest site with slopes </w:t>
            </w:r>
            <w:r w:rsidRPr="00AA7873">
              <w:rPr>
                <w:rFonts w:cstheme="minorHAnsi"/>
                <w:sz w:val="20"/>
                <w:szCs w:val="20"/>
              </w:rPr>
              <w:t>≥</w:t>
            </w:r>
            <w:r w:rsidRPr="00AA7873">
              <w:rPr>
                <w:sz w:val="20"/>
                <w:szCs w:val="20"/>
              </w:rPr>
              <w:t xml:space="preserve"> 20 degrees</w:t>
            </w:r>
          </w:p>
        </w:tc>
        <w:tc>
          <w:tcPr>
            <w:tcW w:w="1770" w:type="dxa"/>
            <w:vAlign w:val="center"/>
          </w:tcPr>
          <w:p w14:paraId="7AFA614D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$0</w:t>
            </w:r>
          </w:p>
        </w:tc>
        <w:tc>
          <w:tcPr>
            <w:tcW w:w="1834" w:type="dxa"/>
            <w:vAlign w:val="center"/>
          </w:tcPr>
          <w:p w14:paraId="7273ADE2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All timber from harvest site</w:t>
            </w:r>
          </w:p>
        </w:tc>
      </w:tr>
      <w:tr w:rsidR="00AA7873" w14:paraId="142C9089" w14:textId="77777777" w:rsidTr="00AA7873">
        <w:tc>
          <w:tcPr>
            <w:tcW w:w="1242" w:type="dxa"/>
            <w:vMerge/>
            <w:vAlign w:val="center"/>
          </w:tcPr>
          <w:p w14:paraId="4687FE1E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2C9FDC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4CFDA864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 xml:space="preserve">11-40% of harvest site with slopes </w:t>
            </w:r>
            <w:r w:rsidRPr="00AA7873">
              <w:rPr>
                <w:rFonts w:cstheme="minorHAnsi"/>
                <w:sz w:val="20"/>
                <w:szCs w:val="20"/>
              </w:rPr>
              <w:t>≥</w:t>
            </w:r>
            <w:r w:rsidRPr="00AA7873">
              <w:rPr>
                <w:sz w:val="20"/>
                <w:szCs w:val="20"/>
              </w:rPr>
              <w:t xml:space="preserve"> 20 degrees</w:t>
            </w:r>
          </w:p>
        </w:tc>
        <w:tc>
          <w:tcPr>
            <w:tcW w:w="1770" w:type="dxa"/>
            <w:vAlign w:val="center"/>
          </w:tcPr>
          <w:p w14:paraId="3A31ECA1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$0.75</w:t>
            </w:r>
          </w:p>
        </w:tc>
        <w:tc>
          <w:tcPr>
            <w:tcW w:w="1834" w:type="dxa"/>
            <w:vAlign w:val="center"/>
          </w:tcPr>
          <w:p w14:paraId="284FB056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All timber from harvest site</w:t>
            </w:r>
          </w:p>
        </w:tc>
      </w:tr>
      <w:tr w:rsidR="00AA7873" w14:paraId="6AD80472" w14:textId="77777777" w:rsidTr="00AA7873">
        <w:tc>
          <w:tcPr>
            <w:tcW w:w="1242" w:type="dxa"/>
            <w:vMerge/>
            <w:vAlign w:val="center"/>
          </w:tcPr>
          <w:p w14:paraId="0CB1A194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5905B06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E00A7C1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 xml:space="preserve">41-100% of harvest site with slopes </w:t>
            </w:r>
            <w:r w:rsidRPr="00AA7873">
              <w:rPr>
                <w:rFonts w:cstheme="minorHAnsi"/>
                <w:sz w:val="20"/>
                <w:szCs w:val="20"/>
              </w:rPr>
              <w:t>≥</w:t>
            </w:r>
            <w:r w:rsidRPr="00AA7873">
              <w:rPr>
                <w:sz w:val="20"/>
                <w:szCs w:val="20"/>
              </w:rPr>
              <w:t xml:space="preserve"> 20 degrees</w:t>
            </w:r>
          </w:p>
        </w:tc>
        <w:tc>
          <w:tcPr>
            <w:tcW w:w="1770" w:type="dxa"/>
            <w:vAlign w:val="center"/>
          </w:tcPr>
          <w:p w14:paraId="5A308841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$4.00</w:t>
            </w:r>
          </w:p>
        </w:tc>
        <w:tc>
          <w:tcPr>
            <w:tcW w:w="1834" w:type="dxa"/>
            <w:vAlign w:val="center"/>
          </w:tcPr>
          <w:p w14:paraId="12E80A18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All timber from harvest site</w:t>
            </w:r>
          </w:p>
        </w:tc>
      </w:tr>
      <w:tr w:rsidR="00AA7873" w14:paraId="796C0092" w14:textId="77777777" w:rsidTr="00AA7873">
        <w:tc>
          <w:tcPr>
            <w:tcW w:w="1242" w:type="dxa"/>
            <w:vMerge w:val="restart"/>
            <w:vAlign w:val="center"/>
          </w:tcPr>
          <w:p w14:paraId="7C2F7F6C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</w:t>
            </w:r>
          </w:p>
        </w:tc>
        <w:tc>
          <w:tcPr>
            <w:tcW w:w="993" w:type="dxa"/>
            <w:vAlign w:val="center"/>
          </w:tcPr>
          <w:p w14:paraId="453855BC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42" w:type="dxa"/>
            <w:vAlign w:val="center"/>
          </w:tcPr>
          <w:p w14:paraId="1D3DDEBF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Up to 30% of harvest site has rock cover</w:t>
            </w:r>
          </w:p>
        </w:tc>
        <w:tc>
          <w:tcPr>
            <w:tcW w:w="1770" w:type="dxa"/>
            <w:vAlign w:val="center"/>
          </w:tcPr>
          <w:p w14:paraId="699709DE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$0</w:t>
            </w:r>
          </w:p>
        </w:tc>
        <w:tc>
          <w:tcPr>
            <w:tcW w:w="1834" w:type="dxa"/>
            <w:vAlign w:val="center"/>
          </w:tcPr>
          <w:p w14:paraId="62628A99" w14:textId="77777777" w:rsidR="00AA7873" w:rsidRPr="00AA7873" w:rsidRDefault="00AA7873" w:rsidP="00AA7873">
            <w:pPr>
              <w:rPr>
                <w:sz w:val="20"/>
                <w:szCs w:val="20"/>
              </w:rPr>
            </w:pPr>
          </w:p>
        </w:tc>
      </w:tr>
      <w:tr w:rsidR="00AA7873" w14:paraId="20D03AC3" w14:textId="77777777" w:rsidTr="00AA7873">
        <w:tc>
          <w:tcPr>
            <w:tcW w:w="1242" w:type="dxa"/>
            <w:vMerge/>
            <w:vAlign w:val="center"/>
          </w:tcPr>
          <w:p w14:paraId="3F5EDDF2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755EF6" w14:textId="77777777" w:rsidR="00AA7873" w:rsidRDefault="00AA7873" w:rsidP="00AA7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2" w:type="dxa"/>
            <w:vAlign w:val="center"/>
          </w:tcPr>
          <w:p w14:paraId="72C8D93B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Over 30% of harvest site has rock cover (including rocks above and below the surface that impact on harvest operations)</w:t>
            </w:r>
          </w:p>
        </w:tc>
        <w:tc>
          <w:tcPr>
            <w:tcW w:w="1770" w:type="dxa"/>
            <w:vAlign w:val="center"/>
          </w:tcPr>
          <w:p w14:paraId="1E42B2C8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$1.80</w:t>
            </w:r>
          </w:p>
        </w:tc>
        <w:tc>
          <w:tcPr>
            <w:tcW w:w="1834" w:type="dxa"/>
            <w:vAlign w:val="center"/>
          </w:tcPr>
          <w:p w14:paraId="7FD1705A" w14:textId="77777777" w:rsidR="00AA7873" w:rsidRPr="00AA7873" w:rsidRDefault="00AA7873" w:rsidP="00AA7873">
            <w:pPr>
              <w:rPr>
                <w:sz w:val="20"/>
                <w:szCs w:val="20"/>
              </w:rPr>
            </w:pPr>
            <w:r w:rsidRPr="00AA7873">
              <w:rPr>
                <w:sz w:val="20"/>
                <w:szCs w:val="20"/>
              </w:rPr>
              <w:t>Only timber from the proportion of the site that is affected by rock</w:t>
            </w:r>
          </w:p>
        </w:tc>
      </w:tr>
    </w:tbl>
    <w:p w14:paraId="6F6B0D4C" w14:textId="77777777" w:rsidR="00AA7873" w:rsidRDefault="00AA7873">
      <w:pPr>
        <w:spacing w:line="240" w:lineRule="auto"/>
        <w:rPr>
          <w:b/>
          <w:sz w:val="24"/>
          <w:szCs w:val="24"/>
        </w:rPr>
      </w:pPr>
    </w:p>
    <w:p w14:paraId="4909C1C1" w14:textId="72134177" w:rsidR="008A6613" w:rsidRDefault="008A6613" w:rsidP="00140A04">
      <w:r>
        <w:lastRenderedPageBreak/>
        <w:t>What would be the harvest rates per m</w:t>
      </w:r>
      <w:r w:rsidRPr="00172245">
        <w:rPr>
          <w:vertAlign w:val="superscript"/>
        </w:rPr>
        <w:t>3</w:t>
      </w:r>
      <w:r>
        <w:t xml:space="preserve"> for the following yields of timber</w:t>
      </w:r>
      <w:r w:rsidR="00140A04">
        <w:t>?</w:t>
      </w:r>
      <w:r w:rsidRPr="008A6613">
        <w:t xml:space="preserve"> </w:t>
      </w:r>
      <w:r w:rsidR="00172245">
        <w:t>Fo</w:t>
      </w:r>
      <w:r w:rsidR="005F0F7A">
        <w:t>r</w:t>
      </w:r>
      <w:r w:rsidR="00172245">
        <w:t xml:space="preserve"> each question, s</w:t>
      </w:r>
      <w:r>
        <w:t>how how you work out your answer.</w:t>
      </w:r>
    </w:p>
    <w:p w14:paraId="37D87B47" w14:textId="77777777" w:rsidR="008A6613" w:rsidRDefault="008A6613" w:rsidP="008A6613">
      <w:pPr>
        <w:pStyle w:val="ListParagraph"/>
        <w:numPr>
          <w:ilvl w:val="0"/>
          <w:numId w:val="1"/>
        </w:numPr>
      </w:pPr>
      <w:r>
        <w:t>B grade sawlogs from Yield Class C.</w:t>
      </w:r>
    </w:p>
    <w:p w14:paraId="0D56D638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5764E481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549F119D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6483734F" w14:textId="77777777" w:rsidR="008A6613" w:rsidRDefault="008A6613" w:rsidP="008A6613">
      <w:pPr>
        <w:pStyle w:val="ListParagraph"/>
        <w:numPr>
          <w:ilvl w:val="0"/>
          <w:numId w:val="1"/>
        </w:numPr>
      </w:pPr>
      <w:r>
        <w:t>C grade sawlogs from Yield Class B, harvested on a slope (Class 2). Show how you worked out your answer.</w:t>
      </w:r>
    </w:p>
    <w:p w14:paraId="4C6687F9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147B3453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559317F6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37DB073B" w14:textId="77777777" w:rsidR="008A6613" w:rsidRDefault="008A6613" w:rsidP="008A6613">
      <w:pPr>
        <w:pStyle w:val="ListParagraph"/>
        <w:numPr>
          <w:ilvl w:val="0"/>
          <w:numId w:val="1"/>
        </w:numPr>
      </w:pPr>
      <w:r>
        <w:t>Pulpwood from yield class D, h</w:t>
      </w:r>
      <w:r w:rsidR="00172245">
        <w:t xml:space="preserve">arvested on a slope (Class 2), </w:t>
      </w:r>
      <w:r>
        <w:t>with some rock (Class A).</w:t>
      </w:r>
    </w:p>
    <w:p w14:paraId="04B175F4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2706B695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47973AA9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76CB4C1E" w14:textId="77777777" w:rsidR="008A6613" w:rsidRDefault="00172245" w:rsidP="00172245">
      <w:pPr>
        <w:pStyle w:val="ListParagraph"/>
        <w:numPr>
          <w:ilvl w:val="0"/>
          <w:numId w:val="1"/>
        </w:numPr>
      </w:pPr>
      <w:r>
        <w:t xml:space="preserve">Yield Class </w:t>
      </w:r>
      <w:r w:rsidR="004E3B42">
        <w:t>F</w:t>
      </w:r>
      <w:r>
        <w:t xml:space="preserve"> pulpwood, harvested on a Class 3 slope.</w:t>
      </w:r>
    </w:p>
    <w:p w14:paraId="3307189B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3247C5EE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06810A37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2879EF78" w14:textId="77777777" w:rsidR="00172245" w:rsidRDefault="00172245" w:rsidP="00172245">
      <w:pPr>
        <w:pStyle w:val="ListParagraph"/>
        <w:numPr>
          <w:ilvl w:val="0"/>
          <w:numId w:val="1"/>
        </w:numPr>
      </w:pPr>
      <w:r>
        <w:t>C grade sawlogs from Yie</w:t>
      </w:r>
      <w:r w:rsidR="004E3B42">
        <w:t>ld Class G, harvested on a flat</w:t>
      </w:r>
      <w:r>
        <w:t xml:space="preserve"> ground with Class B rock.</w:t>
      </w:r>
    </w:p>
    <w:p w14:paraId="1F718FC9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62A5E783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11AF7019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04C6A25D" w14:textId="126C2AF4" w:rsidR="00172245" w:rsidRDefault="00172245" w:rsidP="00172245">
      <w:pPr>
        <w:pStyle w:val="ListParagraph"/>
        <w:numPr>
          <w:ilvl w:val="0"/>
          <w:numId w:val="1"/>
        </w:numPr>
      </w:pPr>
      <w:r>
        <w:t>B grade sawlogs from Yield Class A, harvested on a Class 3 slope with Class B rock.</w:t>
      </w:r>
    </w:p>
    <w:p w14:paraId="144247C6" w14:textId="77777777" w:rsidR="00FC649D" w:rsidRDefault="00FC649D" w:rsidP="00FC649D">
      <w:pPr>
        <w:ind w:left="360"/>
      </w:pPr>
      <w:r>
        <w:t>__________________________________________________________________________________</w:t>
      </w:r>
    </w:p>
    <w:p w14:paraId="15D5A983" w14:textId="4334162A" w:rsidR="00FC649D" w:rsidRDefault="00FC649D" w:rsidP="00FC649D">
      <w:pPr>
        <w:ind w:left="360"/>
      </w:pPr>
      <w:r>
        <w:t>__________________________________________________________________________________</w:t>
      </w:r>
    </w:p>
    <w:sectPr w:rsidR="00FC649D" w:rsidSect="00A660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67B4" w14:textId="77777777" w:rsidR="0091514A" w:rsidRDefault="0091514A" w:rsidP="00A31ED0">
      <w:pPr>
        <w:spacing w:after="0" w:line="240" w:lineRule="auto"/>
      </w:pPr>
      <w:r>
        <w:separator/>
      </w:r>
    </w:p>
  </w:endnote>
  <w:endnote w:type="continuationSeparator" w:id="0">
    <w:p w14:paraId="3B4DFE4F" w14:textId="77777777" w:rsidR="0091514A" w:rsidRDefault="0091514A" w:rsidP="00A3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0C890" w14:textId="77777777" w:rsidR="00AB62C1" w:rsidRDefault="00AB62C1" w:rsidP="00AB62C1">
    <w:pPr>
      <w:pStyle w:val="Footer"/>
      <w:pBdr>
        <w:top w:val="single" w:sz="4" w:space="1" w:color="auto"/>
      </w:pBdr>
      <w:rPr>
        <w:color w:val="009999"/>
        <w:sz w:val="18"/>
        <w:szCs w:val="18"/>
      </w:rPr>
    </w:pPr>
    <w:r w:rsidRPr="005D1444">
      <w:rPr>
        <w:rFonts w:cstheme="minorHAnsi"/>
        <w:color w:val="009999"/>
        <w:sz w:val="18"/>
        <w:szCs w:val="18"/>
      </w:rPr>
      <w:t>©</w:t>
    </w:r>
    <w:r w:rsidRPr="005D1444">
      <w:rPr>
        <w:color w:val="009999"/>
        <w:sz w:val="18"/>
        <w:szCs w:val="18"/>
      </w:rPr>
      <w:t xml:space="preserve"> Commonwealth of Australia 201</w:t>
    </w:r>
    <w:r>
      <w:rPr>
        <w:color w:val="009999"/>
        <w:sz w:val="18"/>
        <w:szCs w:val="18"/>
      </w:rPr>
      <w:t>5</w:t>
    </w:r>
  </w:p>
  <w:p w14:paraId="443B1C72" w14:textId="77777777" w:rsidR="00AB62C1" w:rsidRPr="005B4916" w:rsidRDefault="00AB62C1" w:rsidP="00AB62C1">
    <w:pPr>
      <w:pStyle w:val="Footer"/>
      <w:pBdr>
        <w:top w:val="single" w:sz="4" w:space="1" w:color="auto"/>
      </w:pBdr>
      <w:rPr>
        <w:sz w:val="18"/>
        <w:szCs w:val="18"/>
      </w:rPr>
    </w:pPr>
    <w:r w:rsidRPr="005B4916">
      <w:rPr>
        <w:sz w:val="18"/>
        <w:szCs w:val="18"/>
      </w:rPr>
      <w:t>This document can be altered for training purposes only</w:t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fldChar w:fldCharType="begin"/>
    </w:r>
    <w:r w:rsidRPr="005B4916">
      <w:rPr>
        <w:sz w:val="18"/>
        <w:szCs w:val="18"/>
      </w:rPr>
      <w:instrText xml:space="preserve"> PAGE   \* MERGEFORMAT </w:instrText>
    </w:r>
    <w:r w:rsidRPr="005B4916">
      <w:rPr>
        <w:sz w:val="18"/>
        <w:szCs w:val="18"/>
      </w:rPr>
      <w:fldChar w:fldCharType="separate"/>
    </w:r>
    <w:r w:rsidR="005740B2">
      <w:rPr>
        <w:noProof/>
        <w:sz w:val="18"/>
        <w:szCs w:val="18"/>
      </w:rPr>
      <w:t>1</w:t>
    </w:r>
    <w:r w:rsidRPr="005B4916">
      <w:rPr>
        <w:noProof/>
        <w:sz w:val="18"/>
        <w:szCs w:val="18"/>
      </w:rPr>
      <w:fldChar w:fldCharType="end"/>
    </w:r>
  </w:p>
  <w:p w14:paraId="50520796" w14:textId="4B4ACC0D" w:rsidR="008A6613" w:rsidRPr="00E6322C" w:rsidRDefault="008A6613" w:rsidP="00E63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EFA5" w14:textId="77777777" w:rsidR="0091514A" w:rsidRDefault="0091514A" w:rsidP="00A31ED0">
      <w:pPr>
        <w:spacing w:after="0" w:line="240" w:lineRule="auto"/>
      </w:pPr>
      <w:r>
        <w:separator/>
      </w:r>
    </w:p>
  </w:footnote>
  <w:footnote w:type="continuationSeparator" w:id="0">
    <w:p w14:paraId="0CBFD337" w14:textId="77777777" w:rsidR="0091514A" w:rsidRDefault="0091514A" w:rsidP="00A3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75"/>
      <w:gridCol w:w="7375"/>
    </w:tblGrid>
    <w:tr w:rsidR="008A6613" w14:paraId="70FA3310" w14:textId="77777777" w:rsidTr="006F001E">
      <w:trPr>
        <w:trHeight w:val="709"/>
      </w:trPr>
      <w:tc>
        <w:tcPr>
          <w:tcW w:w="1975" w:type="dxa"/>
        </w:tcPr>
        <w:p w14:paraId="5188D3A2" w14:textId="77777777" w:rsidR="008A6613" w:rsidRDefault="008A6613" w:rsidP="00A31ED0">
          <w:pPr>
            <w:pStyle w:val="Header"/>
            <w:ind w:left="-112"/>
          </w:pPr>
          <w:r>
            <w:rPr>
              <w:noProof/>
              <w:lang w:eastAsia="en-AU"/>
            </w:rPr>
            <w:drawing>
              <wp:inline distT="0" distB="0" distL="0" distR="0" wp14:anchorId="5F2F4377" wp14:editId="333C1BE0">
                <wp:extent cx="1168420" cy="450376"/>
                <wp:effectExtent l="19050" t="0" r="0" b="0"/>
                <wp:docPr id="2" name="Picture 0" descr="ForestWork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estWork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17" cy="45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14:paraId="521191A9" w14:textId="77777777" w:rsidR="005706A1" w:rsidRDefault="008A6613" w:rsidP="0077137B">
          <w:pPr>
            <w:pStyle w:val="Header"/>
          </w:pPr>
          <w:r>
            <w:t>Activity</w:t>
          </w:r>
        </w:p>
        <w:p w14:paraId="092BD0E9" w14:textId="070DCF86" w:rsidR="008A6613" w:rsidRPr="00A31ED0" w:rsidRDefault="008A6613" w:rsidP="0077137B">
          <w:pPr>
            <w:pStyle w:val="Header"/>
            <w:rPr>
              <w:color w:val="009999"/>
            </w:rPr>
          </w:pPr>
          <w:r>
            <w:t>Harvest rates 1</w:t>
          </w:r>
        </w:p>
      </w:tc>
    </w:tr>
  </w:tbl>
  <w:p w14:paraId="4985E466" w14:textId="77777777" w:rsidR="008A6613" w:rsidRDefault="008A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EB8"/>
    <w:multiLevelType w:val="hybridMultilevel"/>
    <w:tmpl w:val="3044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D0"/>
    <w:rsid w:val="00011260"/>
    <w:rsid w:val="0001212E"/>
    <w:rsid w:val="00031D42"/>
    <w:rsid w:val="00061DCE"/>
    <w:rsid w:val="000813BE"/>
    <w:rsid w:val="00085295"/>
    <w:rsid w:val="000D3999"/>
    <w:rsid w:val="00140A04"/>
    <w:rsid w:val="00172245"/>
    <w:rsid w:val="001D348D"/>
    <w:rsid w:val="001E12DB"/>
    <w:rsid w:val="002F63D5"/>
    <w:rsid w:val="00387492"/>
    <w:rsid w:val="0043570C"/>
    <w:rsid w:val="00446707"/>
    <w:rsid w:val="004957D1"/>
    <w:rsid w:val="004A67DD"/>
    <w:rsid w:val="004E3B42"/>
    <w:rsid w:val="00551FD6"/>
    <w:rsid w:val="005706A1"/>
    <w:rsid w:val="005740B2"/>
    <w:rsid w:val="00576C3C"/>
    <w:rsid w:val="00581F3B"/>
    <w:rsid w:val="005E1F91"/>
    <w:rsid w:val="005E5E73"/>
    <w:rsid w:val="005F0F7A"/>
    <w:rsid w:val="00607B30"/>
    <w:rsid w:val="006F001E"/>
    <w:rsid w:val="006F0E31"/>
    <w:rsid w:val="0077137B"/>
    <w:rsid w:val="007847FE"/>
    <w:rsid w:val="00837F65"/>
    <w:rsid w:val="00872E96"/>
    <w:rsid w:val="008A6613"/>
    <w:rsid w:val="008D47C4"/>
    <w:rsid w:val="0091514A"/>
    <w:rsid w:val="009910A9"/>
    <w:rsid w:val="00A31ED0"/>
    <w:rsid w:val="00A659CB"/>
    <w:rsid w:val="00A66054"/>
    <w:rsid w:val="00AA7873"/>
    <w:rsid w:val="00AB62C1"/>
    <w:rsid w:val="00C054E8"/>
    <w:rsid w:val="00CE3222"/>
    <w:rsid w:val="00CE7EA9"/>
    <w:rsid w:val="00D26967"/>
    <w:rsid w:val="00D7104A"/>
    <w:rsid w:val="00E57855"/>
    <w:rsid w:val="00E6322C"/>
    <w:rsid w:val="00E94CC7"/>
    <w:rsid w:val="00F07AC9"/>
    <w:rsid w:val="00F15B0B"/>
    <w:rsid w:val="00FC649D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E8F931"/>
  <w15:docId w15:val="{E30D72D9-30A3-4CF9-AB0A-F1456519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B0B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0099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B0B"/>
    <w:pPr>
      <w:spacing w:before="60" w:after="6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D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3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D0"/>
    <w:rPr>
      <w:lang w:val="en-AU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15B0B"/>
    <w:rPr>
      <w:rFonts w:eastAsiaTheme="majorEastAsia" w:cstheme="minorHAnsi"/>
      <w:b/>
      <w:bCs/>
      <w:color w:val="0099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5E5E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15B0B"/>
    <w:rPr>
      <w:b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40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A0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04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140A04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90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olicyDirtyBag xmlns="microsoft.office.server.policy.changes">
  <Microsoft.Office.RecordsManagement.PolicyFeatures.PolicyLabel op="Delete"/>
</PolicyDirtyBag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242629C51E4A825C08A779917700" ma:contentTypeVersion="189" ma:contentTypeDescription="Create a new document." ma:contentTypeScope="" ma:versionID="6b62ae0567ab40ce6890a1f8f570c697">
  <xsd:schema xmlns:xsd="http://www.w3.org/2001/XMLSchema" xmlns:xs="http://www.w3.org/2001/XMLSchema" xmlns:p="http://schemas.microsoft.com/office/2006/metadata/properties" xmlns:ns2="0a56b152-2336-46f5-a510-dcd9f9226bd7" xmlns:ns3="16a6bbd6-d6d3-4da7-a823-7e2676558598" xmlns:ns4="6633cac4-8ce6-45bf-b825-e749351660ae" xmlns:ns5="d1b7c322-7943-4806-979e-a5ef10677ae6" xmlns:ns6="ac83e355-ac58-46f5-9aca-45f69bd5b256" xmlns:ns7="4653c674-0541-4023-bcef-4fc79ce28644" targetNamespace="http://schemas.microsoft.com/office/2006/metadata/properties" ma:root="true" ma:fieldsID="cbefc880e32d4d192a0146f03e402c9d" ns2:_="" ns3:_="" ns4:_="" ns5:_="" ns6:_="" ns7:_="">
    <xsd:import namespace="0a56b152-2336-46f5-a510-dcd9f9226bd7"/>
    <xsd:import namespace="16a6bbd6-d6d3-4da7-a823-7e2676558598"/>
    <xsd:import namespace="6633cac4-8ce6-45bf-b825-e749351660ae"/>
    <xsd:import namespace="d1b7c322-7943-4806-979e-a5ef10677ae6"/>
    <xsd:import namespace="ac83e355-ac58-46f5-9aca-45f69bd5b256"/>
    <xsd:import namespace="4653c674-0541-4023-bcef-4fc79ce2864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Info_x0020_Category" minOccurs="0"/>
                <xsd:element ref="ns2:Info_x0020_Topic" minOccurs="0"/>
                <xsd:element ref="ns4:Contributors" minOccurs="0"/>
                <xsd:element ref="ns4:Description0" minOccurs="0"/>
                <xsd:element ref="ns4:Info_x0020_Audience" minOccurs="0"/>
                <xsd:element ref="ns4:Doc_x0020_Creation_x0020_Date" minOccurs="0"/>
                <xsd:element ref="ns4:DocMigration" minOccurs="0"/>
                <xsd:element ref="ns4:Keyword" minOccurs="0"/>
                <xsd:element ref="ns4:Info_x0020_Source" minOccurs="0"/>
                <xsd:element ref="ns4:DisplayAsHotDoc" minOccurs="0"/>
                <xsd:element ref="ns5:DisplayAsFrequentForm" minOccurs="0"/>
                <xsd:element ref="ns5:DisplayAsEmploymentAssistanceProgram" minOccurs="0"/>
                <xsd:element ref="ns5:DisplayAsArticleOfInterest" minOccurs="0"/>
                <xsd:element ref="ns5:ProjectTags" minOccurs="0"/>
                <xsd:element ref="ns5:Contract" minOccurs="0"/>
                <xsd:element ref="ns5:Event" minOccurs="0"/>
                <xsd:element ref="ns6:OrgArea" minOccurs="0"/>
                <xsd:element ref="ns5:Status" minOccurs="0"/>
                <xsd:element ref="ns3:TaxKeywordTaxHTField" minOccurs="0"/>
                <xsd:element ref="ns3:TaxCatchAll" minOccurs="0"/>
                <xsd:element ref="ns4:Contributors_x003a_ID" minOccurs="0"/>
                <xsd:element ref="ns4:Contributors_x003a_Last_x0020_Name_x0020__x0028_linked_x0020_to_x0020_item_x0029_" minOccurs="0"/>
                <xsd:element ref="ns4:Info_x0020_Audience_x003a_ID" minOccurs="0"/>
                <xsd:element ref="ns4:Info_x0020_Source_x003a_ID" minOccurs="0"/>
                <xsd:element ref="ns5:Contract_x003a_ID" minOccurs="0"/>
                <xsd:element ref="ns5:Contract_x003a_Contract_x0020_Title" minOccurs="0"/>
                <xsd:element ref="ns7:_dlc_DocId" minOccurs="0"/>
                <xsd:element ref="ns7:_dlc_DocIdUrl" minOccurs="0"/>
                <xsd:element ref="ns7:_dlc_DocIdPersistId" minOccurs="0"/>
                <xsd:element ref="ns6:OrgArea_x003a_ID" minOccurs="0"/>
                <xsd:element ref="ns6:OrgArea_x003a_Title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b152-2336-46f5-a510-dcd9f9226bd7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dbfcfc0f-1936-428d-843e-dad588c7091d}" ma:internalName="Project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Category" ma:index="4" nillable="true" ma:displayName="Type of Document" ma:list="{71f30c72-e9f9-4f67-a562-3e19b81c55ad}" ma:internalName="Info_x0020_Category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Topic" ma:index="5" nillable="true" ma:displayName="Topic" ma:description="Select topic tags that are relevant to the information contained in this item." ma:list="{39c7fc11-58a2-4f53-b10b-8361e0489569}" ma:internalName="Info_x0020_Topic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bbd6-d6d3-4da7-a823-7e26765585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description="" ma:hidden="true" ma:list="{a3b49d3d-376b-4e10-bb2a-37212ad63a1d}" ma:internalName="TaxCatchAll" ma:showField="CatchAllData" ma:web="4653c674-0541-4023-bcef-4fc79ce28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cac4-8ce6-45bf-b825-e749351660ae" elementFormDefault="qualified">
    <xsd:import namespace="http://schemas.microsoft.com/office/2006/documentManagement/types"/>
    <xsd:import namespace="http://schemas.microsoft.com/office/infopath/2007/PartnerControls"/>
    <xsd:element name="Contributors" ma:index="6" nillable="true" ma:displayName="Contributors" ma:list="{6c356eb9-36a9-4b15-86ee-f6e994bc005d}" ma:internalName="Contributors" ma:showField="FullNam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Info_x0020_Audience" ma:index="8" nillable="true" ma:displayName="Audience" ma:list="{a7047c0a-2d9a-450a-b08d-8446b8814160}" ma:internalName="Info_x0020_Audien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reation_x0020_Date" ma:index="9" nillable="true" ma:displayName="Doc Creation Date" ma:default="[today]" ma:format="DateOnly" ma:internalName="Doc_x0020_Creation_x0020_Date">
      <xsd:simpleType>
        <xsd:restriction base="dms:DateTime"/>
      </xsd:simpleType>
    </xsd:element>
    <xsd:element name="DocMigration" ma:index="10" nillable="true" ma:displayName="Document Migration" ma:default="No Action" ma:format="Dropdown" ma:internalName="DocMigration">
      <xsd:simpleType>
        <xsd:restriction base="dms:Choice">
          <xsd:enumeration value="No Action"/>
          <xsd:enumeration value="Move to Published"/>
          <xsd:enumeration value="Move to Archived"/>
        </xsd:restriction>
      </xsd:simpleType>
    </xsd:element>
    <xsd:element name="Keyword" ma:index="11" nillable="true" ma:displayName="Keyword" ma:internalName="Keyword">
      <xsd:simpleType>
        <xsd:restriction base="dms:Note">
          <xsd:maxLength value="255"/>
        </xsd:restriction>
      </xsd:simpleType>
    </xsd:element>
    <xsd:element name="Info_x0020_Source" ma:index="14" nillable="true" ma:displayName="Info Source" ma:list="{3dea1076-1ade-4d04-b9f1-f989fdae477e}" ma:internalName="Info_x0020_Sour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AsHotDoc" ma:index="15" nillable="true" ma:displayName="DisplayAsHotDoc" ma:default="0" ma:internalName="DisplayAsHotDoc">
      <xsd:simpleType>
        <xsd:restriction base="dms:Boolean"/>
      </xsd:simpleType>
    </xsd:element>
    <xsd:element name="Contributors_x003a_ID" ma:index="33" nillable="true" ma:displayName="Contributors:ID" ma:list="{6c356eb9-36a9-4b15-86ee-f6e994bc005d}" ma:internalName="Contributors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ibutors_x003a_Last_x0020_Name_x0020__x0028_linked_x0020_to_x0020_item_x0029_" ma:index="34" nillable="true" ma:displayName="Contributors:Last Name (linked to item)" ma:list="{6c356eb9-36a9-4b15-86ee-f6e994bc005d}" ma:internalName="Contributors_x003a_Last_x0020_Name_x0020__x0028_linked_x0020_to_x0020_item_x0029_" ma:readOnly="true" ma:showField="LinkTitleNoMenu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Audience_x003a_ID" ma:index="35" nillable="true" ma:displayName="Info Audience:ID" ma:list="{a7047c0a-2d9a-450a-b08d-8446b8814160}" ma:internalName="Info_x0020_Audien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Source_x003a_ID" ma:index="36" nillable="true" ma:displayName="Info Source:ID" ma:list="{3dea1076-1ade-4d04-b9f1-f989fdae477e}" ma:internalName="Info_x0020_Sour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c322-7943-4806-979e-a5ef10677ae6" elementFormDefault="qualified">
    <xsd:import namespace="http://schemas.microsoft.com/office/2006/documentManagement/types"/>
    <xsd:import namespace="http://schemas.microsoft.com/office/infopath/2007/PartnerControls"/>
    <xsd:element name="DisplayAsFrequentForm" ma:index="16" nillable="true" ma:displayName="DisplayAsFrequentForm" ma:default="0" ma:internalName="DisplayAsFrequentForm">
      <xsd:simpleType>
        <xsd:restriction base="dms:Boolean"/>
      </xsd:simpleType>
    </xsd:element>
    <xsd:element name="DisplayAsEmploymentAssistanceProgram" ma:index="17" nillable="true" ma:displayName="DisplayAsEmploymentAssistanceProgram" ma:default="0" ma:internalName="DisplayAsEmploymentAssistanceProgram">
      <xsd:simpleType>
        <xsd:restriction base="dms:Boolean"/>
      </xsd:simpleType>
    </xsd:element>
    <xsd:element name="DisplayAsArticleOfInterest" ma:index="18" nillable="true" ma:displayName="DisplayAsArticleOfInterest" ma:default="0" ma:internalName="DisplayAsArticleOfInterest">
      <xsd:simpleType>
        <xsd:restriction base="dms:Boolean"/>
      </xsd:simpleType>
    </xsd:element>
    <xsd:element name="ProjectTags" ma:index="19" nillable="true" ma:displayName="ProjectTags" ma:list="{4acd9ad7-195e-40b3-ae44-e20b0497c93a}" ma:internalName="ProjectTags" ma:showField="Title" ma:web="{ac83e355-ac58-46f5-9aca-45f69bd5b256}">
      <xsd:simpleType>
        <xsd:restriction base="dms:MultiChoiceLookup"/>
      </xsd:simpleType>
    </xsd:element>
    <xsd:element name="Contract" ma:index="20" nillable="true" ma:displayName="Contract" ma:list="{2ca81548-3bac-471f-8f21-9888c8b3cd55}" ma:internalName="Contrac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" ma:index="21" nillable="true" ma:displayName="Event" ma:list="{1c57fa8b-1f43-42b3-8cbe-a060446ed004}" ma:internalName="Ev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In Progress"/>
          <xsd:enumeration value="Final Version"/>
        </xsd:restriction>
      </xsd:simpleType>
    </xsd:element>
    <xsd:element name="Contract_x003a_ID" ma:index="38" nillable="true" ma:displayName="Contract:ID" ma:list="{2ca81548-3bac-471f-8f21-9888c8b3cd55}" ma:internalName="Contract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_x003a_Contract_x0020_Title" ma:index="39" nillable="true" ma:displayName="Contract:Contract Title" ma:list="{2ca81548-3bac-471f-8f21-9888c8b3cd55}" ma:internalName="Contract_x003a_Contract_x0020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4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e355-ac58-46f5-9aca-45f69bd5b256" elementFormDefault="qualified">
    <xsd:import namespace="http://schemas.microsoft.com/office/2006/documentManagement/types"/>
    <xsd:import namespace="http://schemas.microsoft.com/office/infopath/2007/PartnerControls"/>
    <xsd:element name="OrgArea" ma:index="22" nillable="true" ma:displayName="OrgArea" ma:list="{b93ec6ec-e0a7-49ed-a5fe-b49b8cd6c16a}" ma:internalName="OrgArea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ID" ma:index="43" nillable="true" ma:displayName="OrgArea:ID" ma:list="{b93ec6ec-e0a7-49ed-a5fe-b49b8cd6c16a}" ma:internalName="OrgArea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Title" ma:index="44" nillable="true" ma:displayName="OrgArea:Title" ma:list="{b93ec6ec-e0a7-49ed-a5fe-b49b8cd6c16a}" ma:internalName="OrgArea_x003A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c674-0541-4023-bcef-4fc79ce28644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F6CC7-756D-4677-ABC1-810465A951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F6CE5B-C6C2-4A2B-8BA0-A2F125897192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1D452F77-B197-4983-91DA-F25C8EA80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4B38E-4980-49A4-97A7-86A470144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b152-2336-46f5-a510-dcd9f9226bd7"/>
    <ds:schemaRef ds:uri="16a6bbd6-d6d3-4da7-a823-7e2676558598"/>
    <ds:schemaRef ds:uri="6633cac4-8ce6-45bf-b825-e749351660ae"/>
    <ds:schemaRef ds:uri="d1b7c322-7943-4806-979e-a5ef10677ae6"/>
    <ds:schemaRef ds:uri="ac83e355-ac58-46f5-9aca-45f69bd5b256"/>
    <ds:schemaRef ds:uri="4653c674-0541-4023-bcef-4fc79ce2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precision_8</dc:creator>
  <cp:lastModifiedBy>Tessa Gudsell</cp:lastModifiedBy>
  <cp:revision>2</cp:revision>
  <cp:lastPrinted>2015-04-22T05:54:00Z</cp:lastPrinted>
  <dcterms:created xsi:type="dcterms:W3CDTF">2016-08-30T06:02:00Z</dcterms:created>
  <dcterms:modified xsi:type="dcterms:W3CDTF">2016-08-30T06:02:00Z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0x0101004462242629C51E4A825C08A779917700</vt:lpwstr>
  </property>
</Properties>
</file>